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exact" w:line="408" w:before="0" w:after="0"/>
        <w:ind w:hanging="0"/>
        <w:jc w:val="center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-300355</wp:posOffset>
            </wp:positionH>
            <wp:positionV relativeFrom="paragraph">
              <wp:posOffset>-66675</wp:posOffset>
            </wp:positionV>
            <wp:extent cx="6656705" cy="895477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9487" t="2029" r="1751" b="8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895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bookmarkStart w:id="0" w:name="block-13903261"/>
      <w:bookmarkStart w:id="1" w:name="block-1390326111"/>
      <w:bookmarkEnd w:id="0"/>
      <w:bookmarkEnd w:id="1"/>
      <w:r>
        <w:rPr>
          <w:rFonts w:ascii="Times New Roman" w:hAnsi="Times New Roman"/>
          <w:b/>
          <w:i w:val="false"/>
          <w:color w:val="000000"/>
          <w:sz w:val="20"/>
          <w:szCs w:val="20"/>
        </w:rPr>
        <w:t>ПОЯСНИТЕЛЬНАЯ ЗАПИСКА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bookmarkStart w:id="2" w:name="_Toc118726574"/>
      <w:bookmarkEnd w:id="2"/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Рабочая программа учебного курса «Алгебра и начала математического анализа» базового уровня для обучающихся 10  класс</w:t>
      </w:r>
      <w:r>
        <w:rPr>
          <w:rFonts w:ascii="Times New Roman" w:hAnsi="Times New Roman"/>
          <w:b w:val="false"/>
          <w:i w:val="false"/>
          <w:color w:val="000000"/>
          <w:sz w:val="20"/>
          <w:szCs w:val="20"/>
          <w:lang w:val="ru-RU"/>
        </w:rPr>
        <w:t>а</w:t>
      </w: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bookmarkStart w:id="3" w:name="_Toc118726582"/>
      <w:bookmarkEnd w:id="3"/>
      <w:r>
        <w:rPr>
          <w:rFonts w:ascii="Times New Roman" w:hAnsi="Times New Roman"/>
          <w:b/>
          <w:i w:val="false"/>
          <w:color w:val="000000"/>
          <w:sz w:val="20"/>
          <w:szCs w:val="20"/>
        </w:rPr>
        <w:t>ЦЕЛИ ИЗУЧЕНИЯ УЧЕБНОГО КУРСА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самостоятельности, аккуратности, продолжительной концентрации внимания и ответственности за полученный результат. 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В основе методики обучения алгебре и началам математического анализа лежит деятельностный принцип обучения.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 затем интерпретировать полученный результат. 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bookmarkStart w:id="4" w:name="_Toc118726583"/>
      <w:bookmarkEnd w:id="4"/>
      <w:r>
        <w:rPr>
          <w:rFonts w:ascii="Times New Roman" w:hAnsi="Times New Roman"/>
          <w:b/>
          <w:i w:val="false"/>
          <w:color w:val="000000"/>
          <w:sz w:val="20"/>
          <w:szCs w:val="20"/>
        </w:rPr>
        <w:t>МЕСТО УЧЕБНОГО КУРСА В УЧЕБНОМ ПЛАНЕ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bookmarkStart w:id="5" w:name="block-139032621"/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 </w:t>
      </w:r>
      <w:bookmarkStart w:id="6" w:name="block-13903262"/>
      <w:bookmarkEnd w:id="5"/>
      <w:bookmarkEnd w:id="6"/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/>
          <w:b w:val="false"/>
          <w:b w:val="false"/>
          <w:i w:val="false"/>
          <w:i w:val="false"/>
          <w:color w:val="000000"/>
        </w:rPr>
      </w:pPr>
      <w:r>
        <w:rPr>
          <w:rFonts w:ascii="Times New Roman" w:hAnsi="Times New Roman"/>
          <w:b w:val="false"/>
          <w:i w:val="false"/>
          <w:color w:val="000000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bookmarkStart w:id="7" w:name="block-139032661"/>
      <w:bookmarkEnd w:id="7"/>
      <w:r>
        <w:rPr>
          <w:rFonts w:ascii="Times New Roman" w:hAnsi="Times New Roman"/>
          <w:b/>
          <w:i w:val="false"/>
          <w:color w:val="000000"/>
          <w:sz w:val="20"/>
          <w:szCs w:val="20"/>
        </w:rPr>
        <w:t>СОДЕРЖАНИЕ УЧЕБНОГО КУРСА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bookmarkStart w:id="8" w:name="_Toc118726588"/>
      <w:bookmarkEnd w:id="8"/>
      <w:r>
        <w:rPr>
          <w:rFonts w:ascii="Times New Roman" w:hAnsi="Times New Roman"/>
          <w:b/>
          <w:i w:val="false"/>
          <w:color w:val="000000"/>
          <w:sz w:val="20"/>
          <w:szCs w:val="20"/>
        </w:rPr>
        <w:t>10 КЛАСС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Числа и вычисления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Арифметический корень натуральной степени. Действия с арифметическими корнями натуральной степени.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Синус, косинус и тангенс числового аргумента. Арксинус, арккосинус, арктангенс числового аргумента.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Уравнения и неравенства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Тождества и тождественные преобразования. 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Преобразование тригонометрических выражений. Основные тригонометрические формулы.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Уравнение, корень уравнения</w:t>
      </w:r>
      <w:r>
        <w:rPr>
          <w:rFonts w:ascii="Times New Roman" w:hAnsi="Times New Roman"/>
          <w:b w:val="false"/>
          <w:i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Неравенство, решение неравенства. Метод интервалов.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Решение целых и дробно-рациональных уравнений и неравенств.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Решение иррациональных уравнений и неравенств.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Решение тригонометрических уравнений.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Функции и графики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Функция, способы задания функции. График функции. Взаимно обратные функции.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Область определения и множество значений функции. Нули функции. Промежутки знакопостоянства. Чётные и нечётные функции.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b w:val="false"/>
          <w:i/>
          <w:color w:val="000000"/>
          <w:sz w:val="20"/>
          <w:szCs w:val="20"/>
        </w:rPr>
        <w:t>n</w:t>
      </w: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-ой степени. 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Тригонометрическая окружность, определение тригонометрических функций числового аргумента.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Начала математического анализа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Последовательности, способы задания последовательностей. Монотонные последовательности. 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Множества и логика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Определение, теорема, следствие, доказательство.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bookmarkStart w:id="9" w:name="block-139032671"/>
      <w:bookmarkStart w:id="10" w:name="block-1390326611"/>
      <w:bookmarkEnd w:id="9"/>
      <w:bookmarkEnd w:id="10"/>
      <w:r>
        <w:rPr>
          <w:rFonts w:ascii="Times New Roman" w:hAnsi="Times New Roman"/>
          <w:b/>
          <w:i w:val="false"/>
          <w:color w:val="000000"/>
          <w:sz w:val="20"/>
          <w:szCs w:val="20"/>
        </w:rPr>
        <w:t>ПЛАНИРУЕМЫЕ РЕЗУЛЬТАТЫ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метапредметных и предметных образовательных результатов: 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ЛИЧНОСТНЫЕ РЕЗУЛЬТАТЫ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Личностные результаты освоения программы учебного предмета «Математика» характеризуются: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bookmarkStart w:id="11" w:name="_Toc73394992"/>
      <w:bookmarkEnd w:id="11"/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Гражданское воспитание: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Патриотическое воспитание:</w:t>
      </w:r>
    </w:p>
    <w:p>
      <w:pPr>
        <w:pStyle w:val="Normal"/>
        <w:shd w:fill="FFFFFF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Духовно-нравственного воспитания: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Эстетическое воспитание: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Физическое воспитание: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Трудовое воспитание: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Экологическое воспитание: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Ценности научного познания: 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bookmarkStart w:id="12" w:name="_Toc118726579"/>
      <w:bookmarkEnd w:id="12"/>
      <w:r>
        <w:rPr>
          <w:rFonts w:ascii="Times New Roman" w:hAnsi="Times New Roman"/>
          <w:b/>
          <w:i w:val="false"/>
          <w:color w:val="000000"/>
          <w:sz w:val="20"/>
          <w:szCs w:val="20"/>
        </w:rPr>
        <w:t>МЕТАПРЕДМЕТНЫЕ РЕЗУЛЬТАТЫ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>
        <w:rPr>
          <w:rFonts w:ascii="Times New Roman" w:hAnsi="Times New Roman"/>
          <w:b/>
          <w:i/>
          <w:color w:val="000000"/>
          <w:sz w:val="20"/>
          <w:szCs w:val="20"/>
        </w:rPr>
        <w:t>познавательными</w:t>
      </w:r>
      <w:r>
        <w:rPr>
          <w:rFonts w:ascii="Times New Roman" w:hAnsi="Times New Roman"/>
          <w:b w:val="false"/>
          <w:i/>
          <w:color w:val="000000"/>
          <w:sz w:val="20"/>
          <w:szCs w:val="20"/>
        </w:rPr>
        <w:t xml:space="preserve"> действиями, универсальными коммуникативными действиями, универсальными регулятивными действиями.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1) </w:t>
      </w:r>
      <w:r>
        <w:rPr>
          <w:rFonts w:ascii="Times New Roman" w:hAnsi="Times New Roman"/>
          <w:b w:val="false"/>
          <w:i/>
          <w:color w:val="000000"/>
          <w:sz w:val="20"/>
          <w:szCs w:val="20"/>
        </w:rPr>
        <w:t xml:space="preserve">Универсальные </w:t>
      </w:r>
      <w:r>
        <w:rPr>
          <w:rFonts w:ascii="Times New Roman" w:hAnsi="Times New Roman"/>
          <w:b/>
          <w:i/>
          <w:color w:val="000000"/>
          <w:sz w:val="20"/>
          <w:szCs w:val="20"/>
        </w:rPr>
        <w:t>познавательные</w:t>
      </w:r>
      <w:r>
        <w:rPr>
          <w:rFonts w:ascii="Times New Roman" w:hAnsi="Times New Roman"/>
          <w:b w:val="false"/>
          <w:i/>
          <w:color w:val="000000"/>
          <w:sz w:val="20"/>
          <w:szCs w:val="20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Базовые логические действия: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Базовые исследовательские действия: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прогнозировать возможное развитие процесса, а также выдвигать предположения о его развитии в новых условиях.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Работа с информацией: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выявлять дефициты информации, данных, необходимых для ответа на вопрос и для решения задачи;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структурировать информацию, представлять её в различных формах, иллюстрировать графически;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оценивать надёжность информации по самостоятельно сформулированным критериям.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2) </w:t>
      </w:r>
      <w:r>
        <w:rPr>
          <w:rFonts w:ascii="Times New Roman" w:hAnsi="Times New Roman"/>
          <w:b w:val="false"/>
          <w:i/>
          <w:color w:val="000000"/>
          <w:sz w:val="20"/>
          <w:szCs w:val="20"/>
        </w:rPr>
        <w:t xml:space="preserve">Универсальные </w:t>
      </w:r>
      <w:r>
        <w:rPr>
          <w:rFonts w:ascii="Times New Roman" w:hAnsi="Times New Roman"/>
          <w:b/>
          <w:i/>
          <w:color w:val="000000"/>
          <w:sz w:val="20"/>
          <w:szCs w:val="20"/>
        </w:rPr>
        <w:t xml:space="preserve">коммуникативные </w:t>
      </w:r>
      <w:r>
        <w:rPr>
          <w:rFonts w:ascii="Times New Roman" w:hAnsi="Times New Roman"/>
          <w:b w:val="false"/>
          <w:i/>
          <w:color w:val="000000"/>
          <w:sz w:val="20"/>
          <w:szCs w:val="20"/>
        </w:rPr>
        <w:t>действия, обеспечивают сформированность социальных навыков обучающихся.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Общение:</w:t>
      </w:r>
    </w:p>
    <w:p>
      <w:pPr>
        <w:pStyle w:val="Normal"/>
        <w:numPr>
          <w:ilvl w:val="0"/>
          <w:numId w:val="4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>
      <w:pPr>
        <w:pStyle w:val="Normal"/>
        <w:numPr>
          <w:ilvl w:val="0"/>
          <w:numId w:val="4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>
      <w:pPr>
        <w:pStyle w:val="Normal"/>
        <w:numPr>
          <w:ilvl w:val="0"/>
          <w:numId w:val="4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Сотрудничество:</w:t>
      </w:r>
    </w:p>
    <w:p>
      <w:pPr>
        <w:pStyle w:val="Normal"/>
        <w:numPr>
          <w:ilvl w:val="0"/>
          <w:numId w:val="5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>
      <w:pPr>
        <w:pStyle w:val="Normal"/>
        <w:numPr>
          <w:ilvl w:val="0"/>
          <w:numId w:val="5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3) </w:t>
      </w:r>
      <w:r>
        <w:rPr>
          <w:rFonts w:ascii="Times New Roman" w:hAnsi="Times New Roman"/>
          <w:b w:val="false"/>
          <w:i/>
          <w:color w:val="000000"/>
          <w:sz w:val="20"/>
          <w:szCs w:val="20"/>
        </w:rPr>
        <w:t xml:space="preserve">Универсальные </w:t>
      </w:r>
      <w:r>
        <w:rPr>
          <w:rFonts w:ascii="Times New Roman" w:hAnsi="Times New Roman"/>
          <w:b/>
          <w:i/>
          <w:color w:val="000000"/>
          <w:sz w:val="20"/>
          <w:szCs w:val="20"/>
        </w:rPr>
        <w:t xml:space="preserve">регулятивные </w:t>
      </w:r>
      <w:r>
        <w:rPr>
          <w:rFonts w:ascii="Times New Roman" w:hAnsi="Times New Roman"/>
          <w:b w:val="false"/>
          <w:i/>
          <w:color w:val="000000"/>
          <w:sz w:val="20"/>
          <w:szCs w:val="20"/>
        </w:rPr>
        <w:t>действия, обеспечивают формирование смысловых установок и жизненных навыков личности</w:t>
      </w: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Самоорганизация: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Самоконтроль:</w:t>
      </w:r>
    </w:p>
    <w:p>
      <w:pPr>
        <w:pStyle w:val="Normal"/>
        <w:numPr>
          <w:ilvl w:val="0"/>
          <w:numId w:val="6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>
      <w:pPr>
        <w:pStyle w:val="Normal"/>
        <w:numPr>
          <w:ilvl w:val="0"/>
          <w:numId w:val="6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>
      <w:pPr>
        <w:pStyle w:val="Normal"/>
        <w:numPr>
          <w:ilvl w:val="0"/>
          <w:numId w:val="6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ПРЕДМЕТНЫЕ РЕЗУЛЬТАТЫ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bookmarkStart w:id="13" w:name="_Toc118726585"/>
      <w:bookmarkEnd w:id="13"/>
      <w:r>
        <w:rPr>
          <w:rFonts w:ascii="Times New Roman" w:hAnsi="Times New Roman"/>
          <w:b/>
          <w:i w:val="false"/>
          <w:color w:val="000000"/>
          <w:sz w:val="20"/>
          <w:szCs w:val="20"/>
        </w:rPr>
        <w:t>10 КЛАСС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Числа и вычисления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Оперировать понятиями: рациональное и действительное число, обыкновенная и десятичная дробь, проценты.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Выполнять арифметические операции с рациональными и действительными числами.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Уравнения и неравенства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Выполнять преобразования тригонометрических выражений и решать тригонометрические уравнения.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Функции и графики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Оперировать понятиями: чётность и нечётность функции, нули функции, промежутки знакопостоянства.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Использовать графики функций для решения уравнений.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Строить и читать графики линейной функции, квадратичной функции, степенной функции с целым показателем.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Начала математического анализа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Оперировать понятиями: последовательность, арифметическая и геометрическая прогрессии.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Задавать последовательности различными способами.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Использовать свойства последовательностей и прогрессий для решения реальных задач прикладного характера.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Множества и логика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Оперировать понятиями: множество, операции над множествами.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Оперировать понятиями: определение, теорема, следствие, доказательство.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sectPr>
          <w:type w:val="nextPage"/>
          <w:pgSz w:w="11906" w:h="16383"/>
          <w:pgMar w:left="1440" w:right="1440" w:gutter="0" w:header="0" w:top="765" w:footer="0" w:bottom="888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4" w:before="0" w:after="0"/>
        <w:ind w:left="120" w:hanging="0"/>
        <w:jc w:val="both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ТЕМАТИЧЕСКОЕ ПЛАНИРОВАНИЕ 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10 КЛАСС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637"/>
        <w:gridCol w:w="3041"/>
        <w:gridCol w:w="1355"/>
        <w:gridCol w:w="2382"/>
        <w:gridCol w:w="2509"/>
        <w:gridCol w:w="3669"/>
      </w:tblGrid>
      <w:tr>
        <w:trPr>
          <w:trHeight w:val="144" w:hRule="atLeast"/>
        </w:trPr>
        <w:tc>
          <w:tcPr>
            <w:tcW w:w="6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30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Наименование разделов и тем программы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62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36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Электронные (цифровые)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3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304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366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Множества рациональных и действительных чисел. Рациональные уравнения и неравенства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Функции и графики. Степень с целым показателем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Арифметический корень n–ой степени. Иррациональные уравнения и неравенства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Формулы тригонометрии.Тригонометрические уравнения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3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68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3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  <w:szCs w:val="20"/>
        </w:rPr>
      </w:pPr>
      <w:r>
        <w:rPr>
          <w:rFonts w:ascii="Times New Roman" w:hAnsi="Times New Roman"/>
          <w:b/>
          <w:i w:val="false"/>
          <w:color w:val="000000"/>
          <w:sz w:val="28"/>
          <w:szCs w:val="20"/>
        </w:rPr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ПОУРОЧНОЕ ПЛАНИРОВАНИЕ 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10 КЛАСС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501"/>
        <w:gridCol w:w="3279"/>
        <w:gridCol w:w="1120"/>
        <w:gridCol w:w="2106"/>
        <w:gridCol w:w="2254"/>
        <w:gridCol w:w="1586"/>
        <w:gridCol w:w="2747"/>
      </w:tblGrid>
      <w:tr>
        <w:trPr>
          <w:trHeight w:val="144" w:hRule="atLeast"/>
        </w:trPr>
        <w:tc>
          <w:tcPr>
            <w:tcW w:w="5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32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Тема урока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54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15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Дата изучения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Электронные цифровые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327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58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74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Множество, операции над множествами. Диаграммы Эйлера―Венна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 1. п.1</w:t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прикладных задач на дроби и проценты из различных отраслей знаний и реальной жизни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Действительные числа. Рациональные и иррациональные числа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п.2</w:t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Арифметические операции с действительными числами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п.3</w:t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Тождества и тождественные преобразования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Уравнение, корень уравнения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п.4-5</w:t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Неравенство, решение неравенства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Метод интервалов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целых и дробно-рациональных уравнений и неравенств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 по теме "Множества рациональных и действительных чисел. Рациональные уравнения и неравенств"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 1</w:t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Функция, способы задания функции. Взаимно обратные функции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гл.2 п.6</w:t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График функции. Область определения и множество значений функции. Нули функции. Промежутки знакопостоянства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Чётные и нечётные функции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Степенная функция с натуральным и целым показателем. Её свойства и график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Вычисление арифметического корня натуральной степени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Свойства арифметического корня натуральной степени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заданий на применение свойства арифметического корня натуральной степени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Свойства арифметического корня натуральной степени при решении задач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Действия с арифметическими корнями n–ой степени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Действия с арифметическими корнями n–ой степени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Вычисления арифметического корня n–ой степени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Действия с арифметическими корнями n–ой степени. Решение задач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Действия с арифметическими корнями n–ой степени. Решение задач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иррациональных уравнений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иррациональных уравнений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иррациональных неравенств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иррациональных неравенств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35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36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Свойства и график корня n-ой степени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37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задач. Свойства и график корня n-ой степени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38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 по теме "Арифметический корень n–ой степени. Иррациональные уравнения и неравенства"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39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Синус, косинус и тангенс числового аргумента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40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Синус, косинус и тангенс числового аргумента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41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Арксинус, арккосинус и арктангенс числового аргумента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42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Арксинус, арккосинус и арктангенс числового аргумента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43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44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45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Основные тригонометрические формулы Формулы сложения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46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Основные тригонометрические формулы. Синус, косинус и тангенс двойного угла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47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Основные тригонометрические формулы. Синус, косинус и тангенс половинного угла.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48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Основные тригонометрические формулы. Формулы приведения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49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50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Преобразование тригонометрических выражений. решение уравнений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51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Преобразование тригонометрических выражений. Нахождение корней уравнения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52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Преобразование тригонометрических выражений.Вычисление выражения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53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54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тригонометрических уравнений cos x=a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55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тригонометрических уравнений cos x =a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56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тригонометрических уравнений sin x=a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57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тригонометрических уравнений sin x=a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58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тригонометрических уравнений tg =a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59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тригонометрических уравнений tg x=a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60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 по теме "Формулы тригонометрии. Тригонометрические уравнения"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61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Последовательности, способы задания последовательностей. Монотонные последовательности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62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63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Бесконечно убывающая геометрическая прогрессия. Сумма бесконечно убывающей геометрической прогрессии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64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65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задач. Формула сложных процентов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66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67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68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37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68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43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  <w:szCs w:val="20"/>
        </w:rPr>
      </w:pPr>
      <w:r>
        <w:rPr>
          <w:rFonts w:ascii="Times New Roman" w:hAnsi="Times New Roman"/>
          <w:b/>
          <w:i w:val="false"/>
          <w:color w:val="000000"/>
          <w:sz w:val="28"/>
          <w:szCs w:val="20"/>
        </w:rPr>
      </w:r>
    </w:p>
    <w:p>
      <w:pPr>
        <w:pStyle w:val="Normal"/>
        <w:spacing w:before="0" w:after="0"/>
        <w:ind w:left="12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before="0" w:after="0"/>
        <w:ind w:left="12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before="0" w:after="0"/>
        <w:ind w:left="12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before="0" w:after="0"/>
        <w:ind w:left="12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before="0" w:after="0"/>
        <w:ind w:left="12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before="0" w:after="0"/>
        <w:ind w:left="12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before="0" w:after="0"/>
        <w:ind w:left="12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before="0" w:after="0"/>
        <w:ind w:left="12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before="0" w:after="0"/>
        <w:ind w:left="12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before="0" w:after="0"/>
        <w:ind w:left="12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before="0" w:after="0"/>
        <w:ind w:left="12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before="0" w:after="0"/>
        <w:ind w:left="12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before="0" w:after="0"/>
        <w:ind w:left="12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before="0" w:after="0"/>
        <w:ind w:left="12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before="0" w:after="0"/>
        <w:ind w:left="12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before="0" w:after="0"/>
        <w:ind w:left="12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before="0" w:after="0"/>
        <w:ind w:left="12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before="0" w:after="0"/>
        <w:ind w:left="12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before="0" w:after="0"/>
        <w:ind w:left="12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before="0" w:after="0"/>
        <w:ind w:left="12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before="0" w:after="0"/>
        <w:ind w:left="120" w:hanging="0"/>
        <w:jc w:val="left"/>
        <w:rPr>
          <w:sz w:val="20"/>
          <w:szCs w:val="20"/>
        </w:rPr>
      </w:pPr>
      <w:bookmarkStart w:id="14" w:name="block-139032651"/>
      <w:bookmarkEnd w:id="14"/>
      <w:r>
        <w:rPr>
          <w:rFonts w:ascii="Times New Roman" w:hAnsi="Times New Roman"/>
          <w:b/>
          <w:i w:val="false"/>
          <w:color w:val="000000"/>
          <w:sz w:val="20"/>
          <w:szCs w:val="20"/>
        </w:rPr>
        <w:t>УЧЕБНО-МЕТОДИЧЕСКОЕ ОБЕСПЕЧЕНИЕ ОБРАЗОВАТЕЛЬНОГО ПРОЦЕССА</w:t>
      </w:r>
    </w:p>
    <w:p>
      <w:pPr>
        <w:pStyle w:val="Normal"/>
        <w:spacing w:lineRule="exact" w:line="480" w:before="0" w:after="0"/>
        <w:ind w:left="120" w:hanging="0"/>
        <w:jc w:val="left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ОБЯЗАТЕЛЬНЫЕ УЧЕБНЫЕ МАТЕРИАЛЫ ДЛЯ УЧЕНИКА</w:t>
      </w:r>
    </w:p>
    <w:p>
      <w:pPr>
        <w:pStyle w:val="Normal"/>
        <w:spacing w:lineRule="exact" w:line="480" w:before="0" w:after="0"/>
        <w:ind w:left="120" w:hanging="0"/>
        <w:jc w:val="left"/>
        <w:rPr>
          <w:sz w:val="20"/>
          <w:szCs w:val="20"/>
        </w:rPr>
      </w:pPr>
      <w:bookmarkStart w:id="15" w:name="92363736-53cd-4f39-ac85-8c69f6d1639a"/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• </w:t>
      </w: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Математика: алгебра и начала математического анализа, геометрия. Алгебра и начала математического анализа, 10-11 классы/ Алимов Ш.А., Колягин Ю.М., Ткачева М.В. и другие, Акционерное общество «Издательство «Просвещение»</w:t>
      </w:r>
      <w:bookmarkEnd w:id="15"/>
    </w:p>
    <w:p>
      <w:pPr>
        <w:pStyle w:val="Normal"/>
        <w:spacing w:lineRule="exact" w:line="480" w:before="0" w:after="0"/>
        <w:ind w:left="12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before="0" w:after="0"/>
        <w:ind w:left="12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480" w:before="0" w:after="0"/>
        <w:ind w:left="120" w:hanging="0"/>
        <w:jc w:val="left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МЕТОДИЧЕСКИЕ МАТЕРИАЛЫ ДЛЯ УЧИТЕЛЯ</w:t>
      </w:r>
    </w:p>
    <w:p>
      <w:pPr>
        <w:pStyle w:val="Normal"/>
        <w:spacing w:lineRule="exact" w:line="480" w:before="0" w:after="0"/>
        <w:ind w:left="120" w:hanging="0"/>
        <w:jc w:val="left"/>
        <w:rPr>
          <w:sz w:val="20"/>
          <w:szCs w:val="20"/>
        </w:rPr>
      </w:pPr>
      <w:bookmarkStart w:id="16" w:name="92363736-53cd-4f39-ac85-8c69f6d1639a1"/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• </w:t>
      </w: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Математика: алгебра и начала математического анализа, геометрия. Алгебра и начала математического анализа, 10-11 классы/ Алимов Ш.А., Колягин Ю.М., Ткачева М.В. и другие, Акционерное общество «Издательство «Просвещение»</w:t>
      </w:r>
      <w:bookmarkEnd w:id="16"/>
    </w:p>
    <w:p>
      <w:pPr>
        <w:pStyle w:val="Normal"/>
        <w:spacing w:before="0" w:after="0"/>
        <w:ind w:left="12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480" w:before="0" w:after="0"/>
        <w:ind w:left="120" w:hanging="0"/>
        <w:jc w:val="left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ЦИФРОВЫЕ ОБРАЗОВАТЕЛЬНЫЕ РЕСУРСЫ И РЕСУРСЫ СЕТИ ИНТЕРНЕТ</w:t>
      </w:r>
    </w:p>
    <w:p>
      <w:pPr>
        <w:pStyle w:val="Normal"/>
        <w:spacing w:lineRule="exact" w:line="480" w:before="0" w:after="0"/>
        <w:ind w:left="120" w:hanging="0"/>
        <w:jc w:val="left"/>
        <w:rPr>
          <w:sz w:val="20"/>
          <w:szCs w:val="20"/>
        </w:rPr>
      </w:pPr>
      <w:bookmarkStart w:id="17" w:name="block-1390326511"/>
      <w:bookmarkEnd w:id="17"/>
      <w:r>
        <w:rPr>
          <w:sz w:val="20"/>
          <w:szCs w:val="20"/>
          <w:lang w:val="ru-RU"/>
        </w:rPr>
        <w:t>Учи. ру</w:t>
      </w:r>
      <w:bookmarkStart w:id="18" w:name="block-13903265"/>
      <w:bookmarkEnd w:id="18"/>
    </w:p>
    <w:sectPr>
      <w:type w:val="nextPage"/>
      <w:pgSz w:orient="landscape" w:w="16383" w:h="11906"/>
      <w:pgMar w:left="1440" w:right="1440" w:gutter="0" w:header="0" w:top="870" w:footer="0" w:bottom="144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overrideTableStyleFontSizeAndJustification" w:uri="http://schemas.microsoft.com/office/word" w:val="1"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eastAsia="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1">
    <w:name w:val="Normal"/>
    <w:qFormat/>
    <w:rsid w:val="004a3277"/>
    <w:pPr>
      <w:widowControl/>
      <w:suppressAutoHyphens w:val="true"/>
      <w:bidi w:val="0"/>
      <w:spacing w:lineRule="auto" w:line="276" w:before="0" w:after="200"/>
      <w:jc w:val="left"/>
    </w:pPr>
    <w:rPr>
      <w:rFonts w:eastAsia="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1">
    <w:name w:val="Heading 1"/>
    <w:basedOn w:val="Normal"/>
    <w:next w:val="Normal"/>
    <w:link w:val="Heading1Char"/>
    <w:uiPriority w:val="9"/>
    <w:qFormat/>
    <w:rsid w:val="00841cd9"/>
    <w:pPr>
      <w:keepNext w:val="true"/>
      <w:keepLines/>
      <w:spacing w:before="480" w:after="200"/>
      <w:outlineLvl w:val="0"/>
    </w:pPr>
    <w:rPr>
      <w:rFonts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Normal"/>
    <w:next w:val="Normal"/>
    <w:link w:val="Heading2Char"/>
    <w:uiPriority w:val="9"/>
    <w:unhideWhenUsed/>
    <w:qFormat/>
    <w:rsid w:val="00841cd9"/>
    <w:pPr>
      <w:keepNext w:val="true"/>
      <w:keepLines/>
      <w:spacing w:before="200" w:after="200"/>
      <w:outlineLvl w:val="1"/>
    </w:pPr>
    <w:rPr>
      <w:rFonts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Normal"/>
    <w:next w:val="Normal"/>
    <w:link w:val="Heading3Char"/>
    <w:uiPriority w:val="9"/>
    <w:unhideWhenUsed/>
    <w:qFormat/>
    <w:rsid w:val="00841cd9"/>
    <w:pPr>
      <w:keepNext w:val="true"/>
      <w:keepLines/>
      <w:spacing w:before="200" w:after="200"/>
      <w:outlineLvl w:val="2"/>
    </w:pPr>
    <w:rPr>
      <w:rFonts w:eastAsia="" w:cs="" w:asciiTheme="majorHAnsi" w:cstheme="majorBidi" w:eastAsiaTheme="majorEastAsia" w:hAnsiTheme="majorHAnsi"/>
      <w:b/>
      <w:bCs/>
      <w:color w:val="4F81BD" w:themeColor="accent1"/>
    </w:rPr>
  </w:style>
  <w:style w:type="paragraph" w:styleId="4">
    <w:name w:val="Heading 4"/>
    <w:basedOn w:val="Normal"/>
    <w:next w:val="Normal"/>
    <w:link w:val="Heading4Char"/>
    <w:uiPriority w:val="9"/>
    <w:unhideWhenUsed/>
    <w:qFormat/>
    <w:rsid w:val="00841cd9"/>
    <w:pPr>
      <w:keepNext w:val="true"/>
      <w:keepLines/>
      <w:spacing w:before="200" w:after="200"/>
      <w:outlineLvl w:val="3"/>
    </w:pPr>
    <w:rPr>
      <w:rFonts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uiPriority w:val="99"/>
    <w:qFormat/>
    <w:rsid w:val="00841cd9"/>
    <w:rPr/>
  </w:style>
  <w:style w:type="character" w:styleId="Heading1Char" w:customStyle="1">
    <w:name w:val="Heading 1 Char"/>
    <w:basedOn w:val="DefaultParagraphFont"/>
    <w:uiPriority w:val="9"/>
    <w:qFormat/>
    <w:rsid w:val="00841cd9"/>
    <w:rPr>
      <w:rFonts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uiPriority w:val="9"/>
    <w:qFormat/>
    <w:rsid w:val="00841cd9"/>
    <w:rPr>
      <w:rFonts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uiPriority w:val="9"/>
    <w:qFormat/>
    <w:rsid w:val="00841cd9"/>
    <w:rPr>
      <w:rFonts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Heading4Char" w:customStyle="1">
    <w:name w:val="Heading 4 Char"/>
    <w:basedOn w:val="DefaultParagraphFont"/>
    <w:uiPriority w:val="9"/>
    <w:qFormat/>
    <w:rsid w:val="00841cd9"/>
    <w:rPr>
      <w:rFonts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SubtitleChar" w:customStyle="1">
    <w:name w:val="Subtitle Char"/>
    <w:basedOn w:val="DefaultParagraphFont"/>
    <w:uiPriority w:val="11"/>
    <w:qFormat/>
    <w:rsid w:val="00841cd9"/>
    <w:rPr>
      <w:rFonts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TitleChar" w:customStyle="1">
    <w:name w:val="Title Char"/>
    <w:basedOn w:val="DefaultParagraphFont"/>
    <w:uiPriority w:val="10"/>
    <w:qFormat/>
    <w:rsid w:val="00841cd9"/>
    <w:rPr>
      <w:rFonts w:eastAsia="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character" w:styleId="Style10">
    <w:name w:val="Emphasis"/>
    <w:basedOn w:val="DefaultParagraphFont"/>
    <w:uiPriority w:val="20"/>
    <w:qFormat/>
    <w:rsid w:val="00d1197d"/>
    <w:rPr>
      <w:i/>
      <w:iCs/>
    </w:rPr>
  </w:style>
  <w:style w:type="character" w:styleId="Style11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3">
    <w:name w:val="Body Text"/>
    <w:basedOn w:val="Normal"/>
    <w:pPr>
      <w:spacing w:lineRule="auto" w:line="276" w:before="0" w:after="140"/>
    </w:pPr>
    <w:rPr/>
  </w:style>
  <w:style w:type="paragraph" w:styleId="Style14">
    <w:name w:val="List"/>
    <w:basedOn w:val="Style13"/>
    <w:pPr/>
    <w:rPr>
      <w:rFonts w:cs="Mangal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Mangal"/>
      <w:lang w:val="zxx" w:eastAsia="zxx" w:bidi="zxx"/>
    </w:rPr>
  </w:style>
  <w:style w:type="paragraph" w:styleId="Style17">
    <w:name w:val="Колонтитул"/>
    <w:basedOn w:val="Normal"/>
    <w:qFormat/>
    <w:pPr/>
    <w:rPr/>
  </w:style>
  <w:style w:type="paragraph" w:styleId="Style18">
    <w:name w:val="Header"/>
    <w:basedOn w:val="Normal"/>
    <w:link w:val="HeaderChar"/>
    <w:uiPriority w:val="99"/>
    <w:unhideWhenUsed/>
    <w:rsid w:val="00841cd9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NormalIndent">
    <w:name w:val="Normal Indent"/>
    <w:basedOn w:val="Normal"/>
    <w:uiPriority w:val="99"/>
    <w:unhideWhenUsed/>
    <w:qFormat/>
    <w:rsid w:val="00841cd9"/>
    <w:pPr>
      <w:ind w:left="720" w:hanging="0"/>
    </w:pPr>
    <w:rPr/>
  </w:style>
  <w:style w:type="paragraph" w:styleId="Style19">
    <w:name w:val="Subtitle"/>
    <w:basedOn w:val="Normal"/>
    <w:next w:val="Normal"/>
    <w:link w:val="SubtitleChar"/>
    <w:uiPriority w:val="11"/>
    <w:qFormat/>
    <w:rsid w:val="00841cd9"/>
    <w:pPr>
      <w:ind w:left="86" w:hanging="0"/>
    </w:pPr>
    <w:rPr>
      <w:rFonts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paragraph" w:styleId="Style20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/>
      </w:pBdr>
      <w:spacing w:before="0" w:after="300"/>
      <w:contextualSpacing/>
    </w:pPr>
    <w:rPr>
      <w:rFonts w:eastAsia="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Rule="auto" w:line="240"/>
    </w:pPr>
    <w:rPr>
      <w:b/>
      <w:bCs/>
      <w:color w:val="4F81BD" w:themeColor="accent1"/>
      <w:sz w:val="18"/>
      <w:szCs w:val="18"/>
    </w:rPr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</TotalTime>
  <Application>LibreOffice/7.4.1.2$Windows_X86_64 LibreOffice_project/3c58a8f3a960df8bc8fd77b461821e42c061c5f0</Application>
  <AppVersion>15.0000</AppVersion>
  <Pages>19</Pages>
  <Words>3417</Words>
  <Characters>25198</Characters>
  <CharactersWithSpaces>28301</CharactersWithSpaces>
  <Paragraphs>538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2023-10-02T15:24:27Z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